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BF3B4" w14:textId="1E47A7D8" w:rsidR="00423831" w:rsidRPr="00840940" w:rsidRDefault="00423831" w:rsidP="00423831">
      <w:pPr>
        <w:shd w:val="clear" w:color="auto" w:fill="FFFFFF"/>
        <w:jc w:val="center"/>
        <w:rPr>
          <w:rFonts w:ascii="Arial" w:hAnsi="Arial" w:cs="Arial"/>
          <w:b/>
          <w:bCs/>
        </w:rPr>
      </w:pPr>
      <w:r w:rsidRPr="002E2841">
        <w:rPr>
          <w:rFonts w:ascii="Arial" w:hAnsi="Arial" w:cs="Arial"/>
          <w:b/>
          <w:bCs/>
          <w:u w:val="single"/>
        </w:rPr>
        <w:t>APOSENTADORIA</w:t>
      </w:r>
      <w:r w:rsidRPr="0065041C">
        <w:rPr>
          <w:rFonts w:ascii="Arial" w:hAnsi="Arial" w:cs="Arial"/>
          <w:b/>
          <w:bCs/>
          <w:u w:val="single"/>
        </w:rPr>
        <w:t>:</w:t>
      </w:r>
      <w:r w:rsidR="0065041C" w:rsidRPr="0065041C">
        <w:rPr>
          <w:rFonts w:ascii="Arial" w:hAnsi="Arial" w:cs="Arial"/>
          <w:b/>
          <w:bCs/>
        </w:rPr>
        <w:t xml:space="preserve"> </w:t>
      </w:r>
      <w:r w:rsidRPr="00840940">
        <w:rPr>
          <w:rFonts w:ascii="Arial" w:hAnsi="Arial" w:cs="Arial"/>
          <w:b/>
          <w:bCs/>
        </w:rPr>
        <w:t>STF RECONHECE DIREITO DE SERVIDORES À CONVERSÃO DO TEMPO DE SERVIÇO ESPECIAL PARA TEMPO COMUM</w:t>
      </w:r>
    </w:p>
    <w:p w14:paraId="212153F4" w14:textId="5B6EA7BE" w:rsidR="00423831" w:rsidRDefault="00423831" w:rsidP="00423831">
      <w:pPr>
        <w:shd w:val="clear" w:color="auto" w:fill="FFFFFF"/>
        <w:jc w:val="both"/>
        <w:rPr>
          <w:rFonts w:ascii="Arial" w:hAnsi="Arial" w:cs="Arial"/>
        </w:rPr>
      </w:pPr>
    </w:p>
    <w:p w14:paraId="3F2615FD" w14:textId="77777777" w:rsidR="0065041C" w:rsidRPr="00840940" w:rsidRDefault="0065041C" w:rsidP="00423831">
      <w:pPr>
        <w:shd w:val="clear" w:color="auto" w:fill="FFFFFF"/>
        <w:jc w:val="both"/>
        <w:rPr>
          <w:rFonts w:ascii="Arial" w:hAnsi="Arial" w:cs="Arial"/>
        </w:rPr>
      </w:pPr>
    </w:p>
    <w:p w14:paraId="169E8951" w14:textId="77777777" w:rsidR="00423831" w:rsidRPr="00840940" w:rsidRDefault="00423831" w:rsidP="00423831">
      <w:pPr>
        <w:shd w:val="clear" w:color="auto" w:fill="FFFFFF"/>
        <w:jc w:val="both"/>
        <w:rPr>
          <w:rFonts w:ascii="Arial" w:hAnsi="Arial" w:cs="Arial"/>
        </w:rPr>
      </w:pPr>
      <w:r w:rsidRPr="00840940">
        <w:rPr>
          <w:rFonts w:ascii="Arial" w:hAnsi="Arial" w:cs="Arial"/>
        </w:rPr>
        <w:t>Servidores públicos federais que, até a última Reforma da Previdência (EC 103/2019), trabalharam em atividades especiais que prejudiquem a saúde ou a integridade física obtiveram importante vitória no STF.</w:t>
      </w:r>
    </w:p>
    <w:p w14:paraId="5B069B73" w14:textId="77777777" w:rsidR="00423831" w:rsidRPr="00840940" w:rsidRDefault="00423831" w:rsidP="00423831">
      <w:pPr>
        <w:pStyle w:val="NormalWeb"/>
        <w:shd w:val="clear" w:color="auto" w:fill="FFFFFF"/>
        <w:spacing w:before="0" w:beforeAutospacing="0" w:after="0" w:afterAutospacing="0"/>
        <w:jc w:val="both"/>
        <w:rPr>
          <w:rFonts w:ascii="Arial" w:hAnsi="Arial" w:cs="Arial"/>
          <w:spacing w:val="2"/>
        </w:rPr>
      </w:pPr>
    </w:p>
    <w:p w14:paraId="27867F5E" w14:textId="77777777" w:rsidR="00423831" w:rsidRPr="00840940" w:rsidRDefault="00423831" w:rsidP="00423831">
      <w:pPr>
        <w:pStyle w:val="NormalWeb"/>
        <w:shd w:val="clear" w:color="auto" w:fill="FFFFFF"/>
        <w:spacing w:before="0" w:beforeAutospacing="0" w:after="0" w:afterAutospacing="0"/>
        <w:jc w:val="both"/>
        <w:rPr>
          <w:rFonts w:ascii="Arial" w:hAnsi="Arial" w:cs="Arial"/>
          <w:spacing w:val="2"/>
        </w:rPr>
      </w:pPr>
      <w:r w:rsidRPr="00840940">
        <w:rPr>
          <w:rFonts w:ascii="Arial" w:hAnsi="Arial" w:cs="Arial"/>
          <w:spacing w:val="2"/>
        </w:rPr>
        <w:t>A Constituição Federal prevê a possibilidade d</w:t>
      </w:r>
      <w:r>
        <w:rPr>
          <w:rFonts w:ascii="Arial" w:hAnsi="Arial" w:cs="Arial"/>
          <w:spacing w:val="2"/>
        </w:rPr>
        <w:t>e</w:t>
      </w:r>
      <w:r w:rsidRPr="00840940">
        <w:rPr>
          <w:rFonts w:ascii="Arial" w:hAnsi="Arial" w:cs="Arial"/>
          <w:spacing w:val="2"/>
        </w:rPr>
        <w:t xml:space="preserve"> aposentadoria especial para o servidor público que realize suas atividades em condições prejudiciais à saúde ou integridade física</w:t>
      </w:r>
      <w:r>
        <w:rPr>
          <w:rFonts w:ascii="Arial" w:hAnsi="Arial" w:cs="Arial"/>
          <w:spacing w:val="2"/>
        </w:rPr>
        <w:t xml:space="preserve"> (condições insalubres)</w:t>
      </w:r>
      <w:r w:rsidRPr="00840940">
        <w:rPr>
          <w:rFonts w:ascii="Arial" w:hAnsi="Arial" w:cs="Arial"/>
          <w:spacing w:val="2"/>
        </w:rPr>
        <w:t xml:space="preserve">. </w:t>
      </w:r>
      <w:r w:rsidRPr="00840940">
        <w:rPr>
          <w:rFonts w:ascii="Arial" w:hAnsi="Arial" w:cs="Arial"/>
          <w:b/>
          <w:bCs/>
          <w:spacing w:val="2"/>
        </w:rPr>
        <w:t>Porém, até a última reforma da previdência, em 2019, o exercício desse direito dependia da edição de lei complementar.</w:t>
      </w:r>
    </w:p>
    <w:p w14:paraId="6DD104E6" w14:textId="77777777" w:rsidR="00423831" w:rsidRPr="00840940" w:rsidRDefault="00423831" w:rsidP="00423831">
      <w:pPr>
        <w:pStyle w:val="NormalWeb"/>
        <w:shd w:val="clear" w:color="auto" w:fill="FFFFFF"/>
        <w:spacing w:before="0" w:beforeAutospacing="0" w:after="0" w:afterAutospacing="0"/>
        <w:jc w:val="both"/>
        <w:rPr>
          <w:rFonts w:ascii="Arial" w:hAnsi="Arial" w:cs="Arial"/>
          <w:spacing w:val="2"/>
        </w:rPr>
      </w:pPr>
    </w:p>
    <w:p w14:paraId="06B5DDE6" w14:textId="77777777" w:rsidR="00423831" w:rsidRPr="00840940" w:rsidRDefault="00423831" w:rsidP="00423831">
      <w:pPr>
        <w:pStyle w:val="NormalWeb"/>
        <w:shd w:val="clear" w:color="auto" w:fill="FFFFFF"/>
        <w:spacing w:before="0" w:beforeAutospacing="0" w:after="0" w:afterAutospacing="0"/>
        <w:jc w:val="both"/>
        <w:rPr>
          <w:rFonts w:ascii="Arial" w:hAnsi="Arial" w:cs="Arial"/>
          <w:spacing w:val="2"/>
        </w:rPr>
      </w:pPr>
      <w:r w:rsidRPr="00840940">
        <w:rPr>
          <w:rFonts w:ascii="Arial" w:hAnsi="Arial" w:cs="Arial"/>
          <w:spacing w:val="2"/>
        </w:rPr>
        <w:t xml:space="preserve">Ocorre que essa lei complementar não foi editada, o que levou servidores públicos que </w:t>
      </w:r>
      <w:r>
        <w:rPr>
          <w:rFonts w:ascii="Arial" w:hAnsi="Arial" w:cs="Arial"/>
          <w:spacing w:val="2"/>
        </w:rPr>
        <w:t>trabalham ou trabalharam nessas condições especiais</w:t>
      </w:r>
      <w:r w:rsidRPr="00840940">
        <w:rPr>
          <w:rFonts w:ascii="Arial" w:hAnsi="Arial" w:cs="Arial"/>
          <w:spacing w:val="2"/>
        </w:rPr>
        <w:t xml:space="preserve"> a, diretamente ou por intermédio de sua entidade de classe, buscar o Poder Judiciário</w:t>
      </w:r>
      <w:r>
        <w:rPr>
          <w:rFonts w:ascii="Arial" w:hAnsi="Arial" w:cs="Arial"/>
          <w:spacing w:val="2"/>
        </w:rPr>
        <w:t>, especialmente o Supremo Tribunal Federal</w:t>
      </w:r>
      <w:r w:rsidRPr="00840940">
        <w:rPr>
          <w:rFonts w:ascii="Arial" w:hAnsi="Arial" w:cs="Arial"/>
          <w:spacing w:val="2"/>
        </w:rPr>
        <w:t>.</w:t>
      </w:r>
    </w:p>
    <w:p w14:paraId="0A0E7B3A" w14:textId="77777777" w:rsidR="00423831" w:rsidRPr="00840940" w:rsidRDefault="00423831" w:rsidP="00423831">
      <w:pPr>
        <w:pStyle w:val="NormalWeb"/>
        <w:shd w:val="clear" w:color="auto" w:fill="FFFFFF"/>
        <w:spacing w:before="0" w:beforeAutospacing="0" w:after="0" w:afterAutospacing="0"/>
        <w:jc w:val="both"/>
        <w:rPr>
          <w:rFonts w:ascii="Arial" w:hAnsi="Arial" w:cs="Arial"/>
          <w:spacing w:val="2"/>
        </w:rPr>
      </w:pPr>
    </w:p>
    <w:p w14:paraId="689A1C29" w14:textId="77777777" w:rsidR="00423831" w:rsidRPr="00840940" w:rsidRDefault="00423831" w:rsidP="00423831">
      <w:pPr>
        <w:pStyle w:val="NormalWeb"/>
        <w:shd w:val="clear" w:color="auto" w:fill="FFFFFF"/>
        <w:spacing w:before="0" w:beforeAutospacing="0" w:after="0" w:afterAutospacing="0"/>
        <w:jc w:val="both"/>
        <w:rPr>
          <w:rFonts w:ascii="Arial" w:hAnsi="Arial" w:cs="Arial"/>
          <w:spacing w:val="2"/>
        </w:rPr>
      </w:pPr>
      <w:r w:rsidRPr="00840940">
        <w:rPr>
          <w:rFonts w:ascii="Arial" w:hAnsi="Arial" w:cs="Arial"/>
          <w:spacing w:val="2"/>
        </w:rPr>
        <w:t>Na ausência da lei complementar, o Judiciário vinha reconhecendo a aplicação da regra inserida no artigo 57 da Lei 8.213/91, que trata sobre a concessão de aposentadoria especial aos trabalhadores do setor privado, vinculados ao Regime Geral de Previdência Social (INSS).</w:t>
      </w:r>
    </w:p>
    <w:p w14:paraId="7B3744A8" w14:textId="77777777" w:rsidR="00423831" w:rsidRPr="00840940" w:rsidRDefault="00423831" w:rsidP="00423831">
      <w:pPr>
        <w:pStyle w:val="NormalWeb"/>
        <w:shd w:val="clear" w:color="auto" w:fill="FFFFFF"/>
        <w:spacing w:before="0" w:beforeAutospacing="0" w:after="0" w:afterAutospacing="0"/>
        <w:jc w:val="both"/>
        <w:rPr>
          <w:rFonts w:ascii="Arial" w:hAnsi="Arial" w:cs="Arial"/>
          <w:spacing w:val="2"/>
        </w:rPr>
      </w:pPr>
    </w:p>
    <w:p w14:paraId="1251D33A" w14:textId="77777777" w:rsidR="00423831" w:rsidRPr="00840940" w:rsidRDefault="00423831" w:rsidP="00423831">
      <w:pPr>
        <w:pStyle w:val="NormalWeb"/>
        <w:shd w:val="clear" w:color="auto" w:fill="FFFFFF"/>
        <w:spacing w:before="0" w:beforeAutospacing="0" w:after="0" w:afterAutospacing="0"/>
        <w:jc w:val="both"/>
        <w:rPr>
          <w:rFonts w:ascii="Arial" w:hAnsi="Arial" w:cs="Arial"/>
          <w:spacing w:val="2"/>
        </w:rPr>
      </w:pPr>
      <w:r w:rsidRPr="00840940">
        <w:rPr>
          <w:rFonts w:ascii="Arial" w:hAnsi="Arial" w:cs="Arial"/>
          <w:spacing w:val="2"/>
        </w:rPr>
        <w:t>Essa regra estabelece o direito ao benefício de aposentadoria especial para quem trabalhar por um período de 15, 20 ou 25 anos em condições prejudiciais à saúde. O tempo é menor quanto mais grave for a exposição</w:t>
      </w:r>
      <w:r>
        <w:rPr>
          <w:rFonts w:ascii="Arial" w:hAnsi="Arial" w:cs="Arial"/>
          <w:spacing w:val="2"/>
        </w:rPr>
        <w:t xml:space="preserve"> do trabalhador</w:t>
      </w:r>
      <w:r w:rsidRPr="00840940">
        <w:rPr>
          <w:rFonts w:ascii="Arial" w:hAnsi="Arial" w:cs="Arial"/>
          <w:spacing w:val="2"/>
        </w:rPr>
        <w:t xml:space="preserve"> a agentes físicos, químicos ou biológicos. </w:t>
      </w:r>
    </w:p>
    <w:p w14:paraId="682104A7" w14:textId="77777777" w:rsidR="00423831" w:rsidRPr="00840940" w:rsidRDefault="00423831" w:rsidP="00423831">
      <w:pPr>
        <w:pStyle w:val="NormalWeb"/>
        <w:shd w:val="clear" w:color="auto" w:fill="FFFFFF"/>
        <w:spacing w:before="0" w:beforeAutospacing="0" w:after="0" w:afterAutospacing="0"/>
        <w:jc w:val="both"/>
        <w:rPr>
          <w:rFonts w:ascii="Arial" w:hAnsi="Arial" w:cs="Arial"/>
          <w:spacing w:val="2"/>
        </w:rPr>
      </w:pPr>
    </w:p>
    <w:p w14:paraId="55BC576E" w14:textId="77777777" w:rsidR="00423831" w:rsidRPr="00840940" w:rsidRDefault="00423831" w:rsidP="00423831">
      <w:pPr>
        <w:shd w:val="clear" w:color="auto" w:fill="FFFFFF"/>
        <w:jc w:val="both"/>
        <w:rPr>
          <w:rFonts w:ascii="Arial" w:hAnsi="Arial" w:cs="Arial"/>
          <w:spacing w:val="2"/>
        </w:rPr>
      </w:pPr>
      <w:r w:rsidRPr="00840940">
        <w:rPr>
          <w:rFonts w:ascii="Arial" w:hAnsi="Arial" w:cs="Arial"/>
          <w:spacing w:val="2"/>
        </w:rPr>
        <w:t xml:space="preserve">A mesma lei também assegura o direito à contagem diferenciada do tempo de serviço para quem não preencher a totalidade do período especial para aposentadoria. Ou seja, quando o trabalhador migra para uma atividade considerada comum, sem as condições especiais de trabalho, poderá acrescer ao seu tempo de contribuição em atividade especial o fator 0,4, se homem e 0,2, </w:t>
      </w:r>
      <w:r>
        <w:rPr>
          <w:rFonts w:ascii="Arial" w:hAnsi="Arial" w:cs="Arial"/>
          <w:spacing w:val="2"/>
        </w:rPr>
        <w:t xml:space="preserve">se </w:t>
      </w:r>
      <w:r w:rsidRPr="00840940">
        <w:rPr>
          <w:rFonts w:ascii="Arial" w:hAnsi="Arial" w:cs="Arial"/>
          <w:spacing w:val="2"/>
        </w:rPr>
        <w:t>mulher.</w:t>
      </w:r>
    </w:p>
    <w:p w14:paraId="3572EBDB" w14:textId="77777777" w:rsidR="00423831" w:rsidRPr="00840940" w:rsidRDefault="00423831" w:rsidP="00423831">
      <w:pPr>
        <w:pStyle w:val="NormalWeb"/>
        <w:shd w:val="clear" w:color="auto" w:fill="FFFFFF"/>
        <w:spacing w:before="0" w:beforeAutospacing="0" w:after="0" w:afterAutospacing="0"/>
        <w:jc w:val="both"/>
        <w:rPr>
          <w:rFonts w:ascii="Arial" w:hAnsi="Arial" w:cs="Arial"/>
          <w:spacing w:val="2"/>
        </w:rPr>
      </w:pPr>
    </w:p>
    <w:p w14:paraId="14CF02AF" w14:textId="77777777" w:rsidR="00423831" w:rsidRPr="00840940" w:rsidRDefault="00423831" w:rsidP="00423831">
      <w:pPr>
        <w:pStyle w:val="NormalWeb"/>
        <w:shd w:val="clear" w:color="auto" w:fill="FFFFFF"/>
        <w:spacing w:before="0" w:beforeAutospacing="0" w:after="0" w:afterAutospacing="0"/>
        <w:jc w:val="both"/>
        <w:rPr>
          <w:rFonts w:ascii="Arial" w:hAnsi="Arial" w:cs="Arial"/>
          <w:spacing w:val="2"/>
        </w:rPr>
      </w:pPr>
      <w:r w:rsidRPr="00840940">
        <w:rPr>
          <w:rFonts w:ascii="Arial" w:hAnsi="Arial" w:cs="Arial"/>
          <w:spacing w:val="2"/>
        </w:rPr>
        <w:t>O Supremo Tribunal Federal já havia reconhecido o direito à aposentadoria especial do servidor público, com aplicação da regra do Regime Geral de Previdência (INSS), mas ainda não tinha decidido definitivamente sobre a possibilidade de conversão do tempo especial em tempo comum.</w:t>
      </w:r>
    </w:p>
    <w:p w14:paraId="64A6AA0C" w14:textId="77777777" w:rsidR="00423831" w:rsidRPr="00840940" w:rsidRDefault="00423831" w:rsidP="00423831">
      <w:pPr>
        <w:shd w:val="clear" w:color="auto" w:fill="FFFFFF"/>
        <w:jc w:val="both"/>
        <w:rPr>
          <w:rFonts w:ascii="Arial" w:hAnsi="Arial" w:cs="Arial"/>
          <w:color w:val="4E4E4E"/>
        </w:rPr>
      </w:pPr>
    </w:p>
    <w:p w14:paraId="68D66A38" w14:textId="77777777" w:rsidR="00423831" w:rsidRPr="00840940" w:rsidRDefault="00423831" w:rsidP="00423831">
      <w:pPr>
        <w:shd w:val="clear" w:color="auto" w:fill="FFFFFF"/>
        <w:jc w:val="both"/>
        <w:rPr>
          <w:rFonts w:ascii="Arial" w:hAnsi="Arial" w:cs="Arial"/>
          <w:b/>
          <w:bCs/>
        </w:rPr>
      </w:pPr>
      <w:r w:rsidRPr="00840940">
        <w:rPr>
          <w:rFonts w:ascii="Arial" w:hAnsi="Arial" w:cs="Arial"/>
          <w:b/>
          <w:bCs/>
        </w:rPr>
        <w:t xml:space="preserve">No fim de agosto deste ano, o Plenário do STF decidiu que, até a edição da última Reforma da Previdência, decorrente da aprovação da Emenda Constitucional 103/2019, é possível a  averbação do tempo de serviço prestado por servidores públicos em condições especiais que prejudiquem a </w:t>
      </w:r>
      <w:r w:rsidRPr="00840940">
        <w:rPr>
          <w:rFonts w:ascii="Arial" w:hAnsi="Arial" w:cs="Arial"/>
          <w:b/>
          <w:bCs/>
        </w:rPr>
        <w:lastRenderedPageBreak/>
        <w:t>saúde ou a integridade física, e sua conversão em tempo comum para fins de concessão de aposentadoria, com os multiplicadores 0,4 se homem e 0,2 se mulher, ou seja, para os homens acréscimo de 40% e para a mulher de 20%. </w:t>
      </w:r>
    </w:p>
    <w:p w14:paraId="04B5DAB6" w14:textId="77777777" w:rsidR="00423831" w:rsidRPr="00840940" w:rsidRDefault="00423831" w:rsidP="00423831">
      <w:pPr>
        <w:shd w:val="clear" w:color="auto" w:fill="FFFFFF"/>
        <w:jc w:val="both"/>
        <w:rPr>
          <w:rFonts w:ascii="Arial" w:hAnsi="Arial" w:cs="Arial"/>
          <w:color w:val="4E4E4E"/>
        </w:rPr>
      </w:pPr>
    </w:p>
    <w:p w14:paraId="4F942EF7" w14:textId="77777777" w:rsidR="00423831" w:rsidRPr="00840940" w:rsidRDefault="00423831" w:rsidP="00423831">
      <w:pPr>
        <w:shd w:val="clear" w:color="auto" w:fill="FFFFFF"/>
        <w:spacing w:after="255"/>
        <w:jc w:val="both"/>
        <w:rPr>
          <w:rFonts w:ascii="Roboto" w:hAnsi="Roboto"/>
        </w:rPr>
      </w:pPr>
      <w:r w:rsidRPr="00840940">
        <w:rPr>
          <w:rFonts w:ascii="Roboto" w:hAnsi="Roboto"/>
        </w:rPr>
        <w:t>No julgamento, prevaleceu o voto do ministro Edson Fachin no sentido de que, até a edição da EC 103/2019, não havia impedimento à aplicação das regras do RGPS para a conversão do período de trabalho em condições nocivas à saúde ou à integridade física em tempo de atividade comum. </w:t>
      </w:r>
    </w:p>
    <w:p w14:paraId="02DA9213" w14:textId="77777777" w:rsidR="00423831" w:rsidRPr="00840940" w:rsidRDefault="00423831" w:rsidP="00423831">
      <w:pPr>
        <w:shd w:val="clear" w:color="auto" w:fill="FFFFFF"/>
        <w:spacing w:after="255"/>
        <w:jc w:val="both"/>
        <w:rPr>
          <w:rFonts w:ascii="Roboto" w:hAnsi="Roboto"/>
        </w:rPr>
      </w:pPr>
      <w:r w:rsidRPr="00840940">
        <w:rPr>
          <w:rFonts w:ascii="Roboto" w:hAnsi="Roboto"/>
        </w:rPr>
        <w:t>De acordo com o ministro, não procede o argumento de que o fator de conversão seria uma forma de contagem de tempo ficto, porquanto se trata apenas de um ajuste da relação de trabalho submetida a condições especiais. Para ele, a aposentadoria especial com tempo reduzido de contribuição reconhece os danos impostos a quem trabalhou, em parte ou integralmente na vida contributiva, sob condições nocivas. Fachin observou que, ao se interpretar a finalidade da regra constitucional, é possível verificar a necessidade de critérios diferenciados para o cômputo do tempo de serviço em condições de prejuízo à saúde. </w:t>
      </w:r>
    </w:p>
    <w:p w14:paraId="16229C4D" w14:textId="77777777" w:rsidR="00423831" w:rsidRPr="00840940" w:rsidRDefault="00423831" w:rsidP="00423831">
      <w:pPr>
        <w:shd w:val="clear" w:color="auto" w:fill="FFFFFF"/>
        <w:spacing w:after="255"/>
        <w:jc w:val="both"/>
        <w:rPr>
          <w:rFonts w:ascii="Roboto" w:hAnsi="Roboto"/>
        </w:rPr>
      </w:pPr>
      <w:r>
        <w:rPr>
          <w:rFonts w:ascii="Roboto" w:hAnsi="Roboto"/>
        </w:rPr>
        <w:t>Porém, s</w:t>
      </w:r>
      <w:r w:rsidRPr="00840940">
        <w:rPr>
          <w:rFonts w:ascii="Roboto" w:hAnsi="Roboto"/>
        </w:rPr>
        <w:t xml:space="preserve">egundo o ministro, a nova redação do texto constitucional permite aos entes federados (União, estados, distrito federal e municípios) estabelecer, por lei complementar própria, idade e tempo de contribuição diferenciados para aposentadoria de </w:t>
      </w:r>
      <w:r>
        <w:rPr>
          <w:rFonts w:ascii="Roboto" w:hAnsi="Roboto"/>
        </w:rPr>
        <w:t xml:space="preserve">seus </w:t>
      </w:r>
      <w:r w:rsidRPr="00840940">
        <w:rPr>
          <w:rFonts w:ascii="Roboto" w:hAnsi="Roboto"/>
        </w:rPr>
        <w:t xml:space="preserve">servidores cujas atividades sejam exercidas com efetiva exposição a agentes químicos, físicos e biológicos prejudiciais à saúde, vedada a caracterização por categoria profissional ou ocupação. Por isso, a regra existente para o Regime Geral de Previdência (INSS) somente pode ser aplicada aos servidores públicos para o trabalho prestado até 13 de novembro de 2019, </w:t>
      </w:r>
      <w:r>
        <w:rPr>
          <w:rFonts w:ascii="Roboto" w:hAnsi="Roboto"/>
        </w:rPr>
        <w:t>quando entrou</w:t>
      </w:r>
      <w:r w:rsidRPr="00840940">
        <w:rPr>
          <w:rFonts w:ascii="Roboto" w:hAnsi="Roboto"/>
        </w:rPr>
        <w:t xml:space="preserve"> em vigor a EC 103/2019.</w:t>
      </w:r>
    </w:p>
    <w:p w14:paraId="48D2EEB2" w14:textId="1D8B95CC" w:rsidR="00423831" w:rsidRPr="0065041C" w:rsidRDefault="00423831" w:rsidP="00423831">
      <w:pPr>
        <w:rPr>
          <w:rFonts w:ascii="Roboto" w:hAnsi="Roboto"/>
        </w:rPr>
      </w:pPr>
      <w:r w:rsidRPr="0065041C">
        <w:rPr>
          <w:rFonts w:ascii="Roboto" w:hAnsi="Roboto"/>
        </w:rPr>
        <w:t>Tese fixada:</w:t>
      </w:r>
    </w:p>
    <w:p w14:paraId="6489392F" w14:textId="77777777" w:rsidR="0065041C" w:rsidRDefault="0065041C" w:rsidP="00423831">
      <w:pPr>
        <w:jc w:val="both"/>
        <w:rPr>
          <w:rFonts w:ascii="Roboto" w:hAnsi="Roboto"/>
        </w:rPr>
      </w:pPr>
    </w:p>
    <w:p w14:paraId="67C820A9" w14:textId="33266F51" w:rsidR="00383A1A" w:rsidRDefault="00423831" w:rsidP="00423831">
      <w:pPr>
        <w:jc w:val="both"/>
        <w:rPr>
          <w:rFonts w:ascii="Roboto" w:hAnsi="Roboto"/>
        </w:rPr>
      </w:pPr>
      <w:r w:rsidRPr="0065041C">
        <w:rPr>
          <w:rFonts w:ascii="Roboto" w:hAnsi="Roboto"/>
        </w:rPr>
        <w:t>“</w:t>
      </w:r>
      <w:r w:rsidRPr="0065041C">
        <w:rPr>
          <w:rFonts w:ascii="Roboto" w:hAnsi="Roboto"/>
          <w:b/>
          <w:bCs/>
        </w:rPr>
        <w:t>Até a edição da Emenda Constitucional nº 103/2019, o direito à conversão, em tempo comum, do trabalho prestado sob condições especiais que prejudiquem a saúde ou a integridade física de servidor público decorre da previsão de adoção de requisitos e critérios diferenciados para a jubilação daquele enquadrado na hipótese prevista no então vigente inciso III do § 4º do art. 40 da Constituição da República, devendo ser aplicadas as normas do regime geral de previdência social relativas à aposentadoria especial contidas na Lei 8.213/1991 para viabilizar sua concretização enquanto não sobrevier lei complementar disciplinadora da matéria. Após a vigência da EC n.º 103/2019, o direito à conversão em tempo comum, do prestado sob condições especiais pelos servidores obedecerá à legislação complementar dos entes federados, nos termos da competência conferida pelo art. 40, § 4ºC, da Constituição da República</w:t>
      </w:r>
      <w:r w:rsidRPr="0065041C">
        <w:rPr>
          <w:rFonts w:ascii="Roboto" w:hAnsi="Roboto"/>
        </w:rPr>
        <w:t>”.</w:t>
      </w:r>
    </w:p>
    <w:p w14:paraId="7EA9DD12" w14:textId="77777777" w:rsidR="0065041C" w:rsidRPr="0065041C" w:rsidRDefault="0065041C" w:rsidP="00423831">
      <w:pPr>
        <w:jc w:val="both"/>
        <w:rPr>
          <w:rFonts w:ascii="Roboto" w:hAnsi="Roboto"/>
        </w:rPr>
      </w:pPr>
    </w:p>
    <w:p w14:paraId="6E1E0BED" w14:textId="4FEC964B" w:rsidR="0065041C" w:rsidRPr="0065041C" w:rsidRDefault="0065041C" w:rsidP="0065041C">
      <w:pPr>
        <w:jc w:val="right"/>
        <w:rPr>
          <w:rFonts w:ascii="Roboto" w:hAnsi="Roboto"/>
          <w:i/>
          <w:iCs/>
        </w:rPr>
      </w:pPr>
      <w:r w:rsidRPr="0065041C">
        <w:rPr>
          <w:rFonts w:ascii="Roboto" w:hAnsi="Roboto"/>
          <w:i/>
          <w:iCs/>
        </w:rPr>
        <w:t>Boechat e Wagner Advogados</w:t>
      </w:r>
    </w:p>
    <w:sectPr w:rsidR="0065041C" w:rsidRPr="0065041C" w:rsidSect="00330373">
      <w:headerReference w:type="default" r:id="rId7"/>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6700A" w14:textId="77777777" w:rsidR="00E409AD" w:rsidRDefault="00E409AD" w:rsidP="00330373">
      <w:r>
        <w:separator/>
      </w:r>
    </w:p>
  </w:endnote>
  <w:endnote w:type="continuationSeparator" w:id="0">
    <w:p w14:paraId="174378E4" w14:textId="77777777" w:rsidR="00E409AD" w:rsidRDefault="00E409AD" w:rsidP="0033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 Gothic">
    <w:altName w:val="Courier New"/>
    <w:panose1 w:val="00000000000000000000"/>
    <w:charset w:val="00"/>
    <w:family w:val="modern"/>
    <w:notTrueType/>
    <w:pitch w:val="fixed"/>
    <w:sig w:usb0="00000003" w:usb1="00000000" w:usb2="00000000" w:usb3="00000000" w:csb0="00000001" w:csb1="00000000"/>
  </w:font>
  <w:font w:name="Roboto">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6982C" w14:textId="77777777" w:rsidR="00E409AD" w:rsidRDefault="00E409AD" w:rsidP="00330373">
      <w:r>
        <w:separator/>
      </w:r>
    </w:p>
  </w:footnote>
  <w:footnote w:type="continuationSeparator" w:id="0">
    <w:p w14:paraId="1BC2A285" w14:textId="77777777" w:rsidR="00E409AD" w:rsidRDefault="00E409AD" w:rsidP="0033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139B0" w14:textId="77777777" w:rsidR="00330373" w:rsidRDefault="00330373">
    <w:pPr>
      <w:pStyle w:val="Cabealho"/>
    </w:pPr>
    <w:r w:rsidRPr="00330373">
      <w:rPr>
        <w:noProof/>
      </w:rPr>
      <w:drawing>
        <wp:anchor distT="0" distB="0" distL="114300" distR="114300" simplePos="0" relativeHeight="251659264" behindDoc="1" locked="0" layoutInCell="1" allowOverlap="1" wp14:anchorId="77E9AB22" wp14:editId="5A572F76">
          <wp:simplePos x="0" y="0"/>
          <wp:positionH relativeFrom="column">
            <wp:posOffset>-1070610</wp:posOffset>
          </wp:positionH>
          <wp:positionV relativeFrom="paragraph">
            <wp:posOffset>-440055</wp:posOffset>
          </wp:positionV>
          <wp:extent cx="7543800" cy="10687050"/>
          <wp:effectExtent l="0" t="0" r="0" b="0"/>
          <wp:wrapNone/>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91" cy="1069478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97F79"/>
    <w:multiLevelType w:val="hybridMultilevel"/>
    <w:tmpl w:val="9894C9E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0159D7"/>
    <w:multiLevelType w:val="hybridMultilevel"/>
    <w:tmpl w:val="8292A6A6"/>
    <w:lvl w:ilvl="0" w:tplc="4EFA2FC8">
      <w:start w:val="4"/>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0707A"/>
    <w:multiLevelType w:val="hybridMultilevel"/>
    <w:tmpl w:val="77F6A172"/>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9A5D05"/>
    <w:multiLevelType w:val="hybridMultilevel"/>
    <w:tmpl w:val="E796F3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044F3F"/>
    <w:multiLevelType w:val="hybridMultilevel"/>
    <w:tmpl w:val="DD74674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564D6"/>
    <w:multiLevelType w:val="hybridMultilevel"/>
    <w:tmpl w:val="86F62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8A1701"/>
    <w:multiLevelType w:val="hybridMultilevel"/>
    <w:tmpl w:val="E758B3CC"/>
    <w:lvl w:ilvl="0" w:tplc="04160001">
      <w:start w:val="1"/>
      <w:numFmt w:val="bullet"/>
      <w:lvlText w:val=""/>
      <w:lvlJc w:val="left"/>
      <w:pPr>
        <w:tabs>
          <w:tab w:val="num" w:pos="720"/>
        </w:tabs>
        <w:ind w:left="720" w:hanging="360"/>
      </w:pPr>
      <w:rPr>
        <w:rFonts w:ascii="Symbol" w:hAnsi="Symbol" w:hint="default"/>
      </w:rPr>
    </w:lvl>
    <w:lvl w:ilvl="1" w:tplc="0416000F">
      <w:start w:val="1"/>
      <w:numFmt w:val="decimal"/>
      <w:lvlText w:val="%2."/>
      <w:lvlJc w:val="left"/>
      <w:pPr>
        <w:tabs>
          <w:tab w:val="num" w:pos="1440"/>
        </w:tabs>
        <w:ind w:left="1440" w:hanging="360"/>
      </w:pPr>
      <w:rPr>
        <w:rFonts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CA6401"/>
    <w:multiLevelType w:val="hybridMultilevel"/>
    <w:tmpl w:val="ABE4CA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BA64D1"/>
    <w:multiLevelType w:val="hybridMultilevel"/>
    <w:tmpl w:val="E50823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4"/>
  </w:num>
  <w:num w:numId="4">
    <w:abstractNumId w:val="2"/>
  </w:num>
  <w:num w:numId="5">
    <w:abstractNumId w:val="5"/>
  </w:num>
  <w:num w:numId="6">
    <w:abstractNumId w:val="1"/>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43E"/>
    <w:rsid w:val="00000E33"/>
    <w:rsid w:val="00007E89"/>
    <w:rsid w:val="00010356"/>
    <w:rsid w:val="0001102D"/>
    <w:rsid w:val="00017978"/>
    <w:rsid w:val="00017E21"/>
    <w:rsid w:val="00021C49"/>
    <w:rsid w:val="000243AD"/>
    <w:rsid w:val="00025E9A"/>
    <w:rsid w:val="00040CA0"/>
    <w:rsid w:val="00043234"/>
    <w:rsid w:val="000500F7"/>
    <w:rsid w:val="0005087F"/>
    <w:rsid w:val="00052592"/>
    <w:rsid w:val="000536A3"/>
    <w:rsid w:val="00055B4D"/>
    <w:rsid w:val="000570E0"/>
    <w:rsid w:val="00064D30"/>
    <w:rsid w:val="00067B11"/>
    <w:rsid w:val="000706F6"/>
    <w:rsid w:val="000812A7"/>
    <w:rsid w:val="00090BDC"/>
    <w:rsid w:val="0009290D"/>
    <w:rsid w:val="00097C07"/>
    <w:rsid w:val="000A0DD9"/>
    <w:rsid w:val="000B2A70"/>
    <w:rsid w:val="000B7BB3"/>
    <w:rsid w:val="000C20DE"/>
    <w:rsid w:val="000D0163"/>
    <w:rsid w:val="000D57C6"/>
    <w:rsid w:val="000D6D9F"/>
    <w:rsid w:val="000D77CF"/>
    <w:rsid w:val="000E3271"/>
    <w:rsid w:val="000E5646"/>
    <w:rsid w:val="0010009F"/>
    <w:rsid w:val="00106694"/>
    <w:rsid w:val="001067E1"/>
    <w:rsid w:val="001120E6"/>
    <w:rsid w:val="00117DD9"/>
    <w:rsid w:val="00122FD6"/>
    <w:rsid w:val="00124D92"/>
    <w:rsid w:val="0014116B"/>
    <w:rsid w:val="00144EDA"/>
    <w:rsid w:val="00155225"/>
    <w:rsid w:val="00156F31"/>
    <w:rsid w:val="00171BA5"/>
    <w:rsid w:val="0019096F"/>
    <w:rsid w:val="00193A21"/>
    <w:rsid w:val="0019595F"/>
    <w:rsid w:val="001A759A"/>
    <w:rsid w:val="001B6677"/>
    <w:rsid w:val="001C3502"/>
    <w:rsid w:val="001D0101"/>
    <w:rsid w:val="001D1D1C"/>
    <w:rsid w:val="001F4EAC"/>
    <w:rsid w:val="00202979"/>
    <w:rsid w:val="00202A86"/>
    <w:rsid w:val="00211E3D"/>
    <w:rsid w:val="00213C7E"/>
    <w:rsid w:val="00215358"/>
    <w:rsid w:val="00227DDE"/>
    <w:rsid w:val="0023136F"/>
    <w:rsid w:val="00241AD2"/>
    <w:rsid w:val="0024304F"/>
    <w:rsid w:val="0025343F"/>
    <w:rsid w:val="002538DE"/>
    <w:rsid w:val="00255D08"/>
    <w:rsid w:val="00262A14"/>
    <w:rsid w:val="00264F13"/>
    <w:rsid w:val="00265F1E"/>
    <w:rsid w:val="00270E0A"/>
    <w:rsid w:val="002734DD"/>
    <w:rsid w:val="00276354"/>
    <w:rsid w:val="00277C7C"/>
    <w:rsid w:val="002868AA"/>
    <w:rsid w:val="00286A3E"/>
    <w:rsid w:val="0029260C"/>
    <w:rsid w:val="0029607F"/>
    <w:rsid w:val="00296714"/>
    <w:rsid w:val="002A6314"/>
    <w:rsid w:val="002C054A"/>
    <w:rsid w:val="002C621C"/>
    <w:rsid w:val="002D1825"/>
    <w:rsid w:val="002D2CBC"/>
    <w:rsid w:val="002D4698"/>
    <w:rsid w:val="002D4BC9"/>
    <w:rsid w:val="002E08AA"/>
    <w:rsid w:val="002E45EB"/>
    <w:rsid w:val="002F1D30"/>
    <w:rsid w:val="002F43F4"/>
    <w:rsid w:val="00312312"/>
    <w:rsid w:val="00317D42"/>
    <w:rsid w:val="00323458"/>
    <w:rsid w:val="003234C4"/>
    <w:rsid w:val="003278D7"/>
    <w:rsid w:val="00330373"/>
    <w:rsid w:val="00330D24"/>
    <w:rsid w:val="0033317E"/>
    <w:rsid w:val="00350248"/>
    <w:rsid w:val="00350C6A"/>
    <w:rsid w:val="00351CF2"/>
    <w:rsid w:val="0035250B"/>
    <w:rsid w:val="00363C49"/>
    <w:rsid w:val="00367AB1"/>
    <w:rsid w:val="003726E3"/>
    <w:rsid w:val="00377125"/>
    <w:rsid w:val="00381294"/>
    <w:rsid w:val="00383A1A"/>
    <w:rsid w:val="00393A34"/>
    <w:rsid w:val="0039628B"/>
    <w:rsid w:val="003A7FE5"/>
    <w:rsid w:val="003B1CAD"/>
    <w:rsid w:val="003B47A3"/>
    <w:rsid w:val="003C1D18"/>
    <w:rsid w:val="003C2CC5"/>
    <w:rsid w:val="003E133D"/>
    <w:rsid w:val="003F0703"/>
    <w:rsid w:val="003F0789"/>
    <w:rsid w:val="003F1522"/>
    <w:rsid w:val="003F5889"/>
    <w:rsid w:val="003F75AB"/>
    <w:rsid w:val="004004C1"/>
    <w:rsid w:val="0040174C"/>
    <w:rsid w:val="0040187B"/>
    <w:rsid w:val="00403DF3"/>
    <w:rsid w:val="00414CFE"/>
    <w:rsid w:val="00423831"/>
    <w:rsid w:val="00435DD3"/>
    <w:rsid w:val="00436258"/>
    <w:rsid w:val="00443BF4"/>
    <w:rsid w:val="0045011A"/>
    <w:rsid w:val="004509F2"/>
    <w:rsid w:val="00452A52"/>
    <w:rsid w:val="004547E4"/>
    <w:rsid w:val="004549F0"/>
    <w:rsid w:val="00454BDD"/>
    <w:rsid w:val="00460728"/>
    <w:rsid w:val="00460E0B"/>
    <w:rsid w:val="004700AF"/>
    <w:rsid w:val="00470243"/>
    <w:rsid w:val="004749BE"/>
    <w:rsid w:val="0048016F"/>
    <w:rsid w:val="00481010"/>
    <w:rsid w:val="00482DF1"/>
    <w:rsid w:val="00483477"/>
    <w:rsid w:val="0049582A"/>
    <w:rsid w:val="00495B54"/>
    <w:rsid w:val="0049648D"/>
    <w:rsid w:val="004B2962"/>
    <w:rsid w:val="004C7017"/>
    <w:rsid w:val="004D1BA8"/>
    <w:rsid w:val="004E2B11"/>
    <w:rsid w:val="004E3D20"/>
    <w:rsid w:val="004E49E6"/>
    <w:rsid w:val="004E6499"/>
    <w:rsid w:val="004F1DE1"/>
    <w:rsid w:val="004F3512"/>
    <w:rsid w:val="004F5A8E"/>
    <w:rsid w:val="00500FB2"/>
    <w:rsid w:val="00502904"/>
    <w:rsid w:val="00503B79"/>
    <w:rsid w:val="005313C3"/>
    <w:rsid w:val="005365FF"/>
    <w:rsid w:val="00542C87"/>
    <w:rsid w:val="005477BB"/>
    <w:rsid w:val="00547F43"/>
    <w:rsid w:val="0055582D"/>
    <w:rsid w:val="00560C1C"/>
    <w:rsid w:val="00560F0D"/>
    <w:rsid w:val="00565748"/>
    <w:rsid w:val="00585D55"/>
    <w:rsid w:val="00586BE2"/>
    <w:rsid w:val="00591C35"/>
    <w:rsid w:val="005979AC"/>
    <w:rsid w:val="005A1255"/>
    <w:rsid w:val="005A2EE6"/>
    <w:rsid w:val="005A5603"/>
    <w:rsid w:val="005A63B1"/>
    <w:rsid w:val="005B045A"/>
    <w:rsid w:val="005B29D8"/>
    <w:rsid w:val="005D0FE3"/>
    <w:rsid w:val="005D2A54"/>
    <w:rsid w:val="005D4493"/>
    <w:rsid w:val="005E752A"/>
    <w:rsid w:val="005F12E6"/>
    <w:rsid w:val="00602C78"/>
    <w:rsid w:val="006110E3"/>
    <w:rsid w:val="00613978"/>
    <w:rsid w:val="00616026"/>
    <w:rsid w:val="00621A6B"/>
    <w:rsid w:val="00624DC1"/>
    <w:rsid w:val="0062552E"/>
    <w:rsid w:val="0062599A"/>
    <w:rsid w:val="00626084"/>
    <w:rsid w:val="00630543"/>
    <w:rsid w:val="00636C98"/>
    <w:rsid w:val="00645667"/>
    <w:rsid w:val="0064770A"/>
    <w:rsid w:val="00647967"/>
    <w:rsid w:val="0065041C"/>
    <w:rsid w:val="0065322F"/>
    <w:rsid w:val="00663D5F"/>
    <w:rsid w:val="00675EE2"/>
    <w:rsid w:val="00676E0A"/>
    <w:rsid w:val="00691DA3"/>
    <w:rsid w:val="00693E22"/>
    <w:rsid w:val="006A2B2C"/>
    <w:rsid w:val="006B1322"/>
    <w:rsid w:val="006B1921"/>
    <w:rsid w:val="006C2646"/>
    <w:rsid w:val="006C5547"/>
    <w:rsid w:val="006D65B7"/>
    <w:rsid w:val="006E2710"/>
    <w:rsid w:val="006E43A6"/>
    <w:rsid w:val="006E59FC"/>
    <w:rsid w:val="00701377"/>
    <w:rsid w:val="0071345D"/>
    <w:rsid w:val="0071408D"/>
    <w:rsid w:val="0071739B"/>
    <w:rsid w:val="00723FBA"/>
    <w:rsid w:val="007241C7"/>
    <w:rsid w:val="00726256"/>
    <w:rsid w:val="00732674"/>
    <w:rsid w:val="00737C3E"/>
    <w:rsid w:val="00750833"/>
    <w:rsid w:val="00751434"/>
    <w:rsid w:val="00751671"/>
    <w:rsid w:val="0075411F"/>
    <w:rsid w:val="00755FCE"/>
    <w:rsid w:val="00760DE9"/>
    <w:rsid w:val="00773A81"/>
    <w:rsid w:val="007772BC"/>
    <w:rsid w:val="0078032E"/>
    <w:rsid w:val="0078378C"/>
    <w:rsid w:val="0079095E"/>
    <w:rsid w:val="007B1D13"/>
    <w:rsid w:val="007B7A7F"/>
    <w:rsid w:val="007C006C"/>
    <w:rsid w:val="007C4FB1"/>
    <w:rsid w:val="007C7DEE"/>
    <w:rsid w:val="007D6606"/>
    <w:rsid w:val="007F630A"/>
    <w:rsid w:val="007F7382"/>
    <w:rsid w:val="00824B31"/>
    <w:rsid w:val="00834DB4"/>
    <w:rsid w:val="00834E6A"/>
    <w:rsid w:val="00841C6F"/>
    <w:rsid w:val="00861BAC"/>
    <w:rsid w:val="0086786D"/>
    <w:rsid w:val="008750AE"/>
    <w:rsid w:val="0088080B"/>
    <w:rsid w:val="00882C89"/>
    <w:rsid w:val="00890E0A"/>
    <w:rsid w:val="00891819"/>
    <w:rsid w:val="00891A00"/>
    <w:rsid w:val="00893283"/>
    <w:rsid w:val="0089468F"/>
    <w:rsid w:val="00894D0C"/>
    <w:rsid w:val="008A07F6"/>
    <w:rsid w:val="008A41AE"/>
    <w:rsid w:val="008B27BB"/>
    <w:rsid w:val="008B2AB2"/>
    <w:rsid w:val="008B51BE"/>
    <w:rsid w:val="008B779D"/>
    <w:rsid w:val="008D3CA9"/>
    <w:rsid w:val="00931F8D"/>
    <w:rsid w:val="00934672"/>
    <w:rsid w:val="00950839"/>
    <w:rsid w:val="00955A76"/>
    <w:rsid w:val="009567DB"/>
    <w:rsid w:val="009703BB"/>
    <w:rsid w:val="00971615"/>
    <w:rsid w:val="00971D2D"/>
    <w:rsid w:val="00977998"/>
    <w:rsid w:val="00986F87"/>
    <w:rsid w:val="00997F35"/>
    <w:rsid w:val="009A2652"/>
    <w:rsid w:val="009A31CF"/>
    <w:rsid w:val="009A5803"/>
    <w:rsid w:val="009A6D44"/>
    <w:rsid w:val="009B0BE5"/>
    <w:rsid w:val="009B4F55"/>
    <w:rsid w:val="009B593C"/>
    <w:rsid w:val="009D061A"/>
    <w:rsid w:val="009D26AE"/>
    <w:rsid w:val="009D35BB"/>
    <w:rsid w:val="009D7079"/>
    <w:rsid w:val="009E755C"/>
    <w:rsid w:val="009F0C1A"/>
    <w:rsid w:val="009F3D54"/>
    <w:rsid w:val="00A0401D"/>
    <w:rsid w:val="00A06645"/>
    <w:rsid w:val="00A1010C"/>
    <w:rsid w:val="00A1067A"/>
    <w:rsid w:val="00A11F60"/>
    <w:rsid w:val="00A372A1"/>
    <w:rsid w:val="00A41387"/>
    <w:rsid w:val="00A456B7"/>
    <w:rsid w:val="00A472EF"/>
    <w:rsid w:val="00A51287"/>
    <w:rsid w:val="00A5477D"/>
    <w:rsid w:val="00A54FBE"/>
    <w:rsid w:val="00A61047"/>
    <w:rsid w:val="00A616C6"/>
    <w:rsid w:val="00A66D3E"/>
    <w:rsid w:val="00A6788A"/>
    <w:rsid w:val="00A72257"/>
    <w:rsid w:val="00A85500"/>
    <w:rsid w:val="00A91D76"/>
    <w:rsid w:val="00A97BDC"/>
    <w:rsid w:val="00AA318C"/>
    <w:rsid w:val="00AB6D5A"/>
    <w:rsid w:val="00AC35A7"/>
    <w:rsid w:val="00AF541D"/>
    <w:rsid w:val="00B106AC"/>
    <w:rsid w:val="00B17AF6"/>
    <w:rsid w:val="00B234F9"/>
    <w:rsid w:val="00B238C1"/>
    <w:rsid w:val="00B25606"/>
    <w:rsid w:val="00B31D11"/>
    <w:rsid w:val="00B34307"/>
    <w:rsid w:val="00B35459"/>
    <w:rsid w:val="00B36AE8"/>
    <w:rsid w:val="00B51F73"/>
    <w:rsid w:val="00B60A2C"/>
    <w:rsid w:val="00B63737"/>
    <w:rsid w:val="00B65237"/>
    <w:rsid w:val="00B867D7"/>
    <w:rsid w:val="00B86F63"/>
    <w:rsid w:val="00B9296F"/>
    <w:rsid w:val="00B956B6"/>
    <w:rsid w:val="00B96F6E"/>
    <w:rsid w:val="00BA01D0"/>
    <w:rsid w:val="00BA5172"/>
    <w:rsid w:val="00BB08C0"/>
    <w:rsid w:val="00BD7CC3"/>
    <w:rsid w:val="00BF598E"/>
    <w:rsid w:val="00C02193"/>
    <w:rsid w:val="00C1043E"/>
    <w:rsid w:val="00C212B0"/>
    <w:rsid w:val="00C315E8"/>
    <w:rsid w:val="00C31A08"/>
    <w:rsid w:val="00C37EF4"/>
    <w:rsid w:val="00C40B22"/>
    <w:rsid w:val="00C44423"/>
    <w:rsid w:val="00C475A4"/>
    <w:rsid w:val="00C5174E"/>
    <w:rsid w:val="00C5307F"/>
    <w:rsid w:val="00C642DC"/>
    <w:rsid w:val="00C67813"/>
    <w:rsid w:val="00C76784"/>
    <w:rsid w:val="00C77054"/>
    <w:rsid w:val="00C83F48"/>
    <w:rsid w:val="00C94649"/>
    <w:rsid w:val="00C97394"/>
    <w:rsid w:val="00C9771E"/>
    <w:rsid w:val="00CA43A6"/>
    <w:rsid w:val="00CB6554"/>
    <w:rsid w:val="00CC0E29"/>
    <w:rsid w:val="00CD4BAC"/>
    <w:rsid w:val="00CE70ED"/>
    <w:rsid w:val="00CF51ED"/>
    <w:rsid w:val="00D00073"/>
    <w:rsid w:val="00D019FB"/>
    <w:rsid w:val="00D037FD"/>
    <w:rsid w:val="00D15B45"/>
    <w:rsid w:val="00D32193"/>
    <w:rsid w:val="00D41B70"/>
    <w:rsid w:val="00D4237D"/>
    <w:rsid w:val="00D52BAB"/>
    <w:rsid w:val="00D65D07"/>
    <w:rsid w:val="00D6607D"/>
    <w:rsid w:val="00D75570"/>
    <w:rsid w:val="00D82503"/>
    <w:rsid w:val="00D97D21"/>
    <w:rsid w:val="00DA47B5"/>
    <w:rsid w:val="00DB2B3D"/>
    <w:rsid w:val="00DC0E0C"/>
    <w:rsid w:val="00DC2375"/>
    <w:rsid w:val="00DC67FD"/>
    <w:rsid w:val="00DF0344"/>
    <w:rsid w:val="00DF0F62"/>
    <w:rsid w:val="00DF3000"/>
    <w:rsid w:val="00E07D36"/>
    <w:rsid w:val="00E143DF"/>
    <w:rsid w:val="00E17163"/>
    <w:rsid w:val="00E21D43"/>
    <w:rsid w:val="00E2204F"/>
    <w:rsid w:val="00E2601B"/>
    <w:rsid w:val="00E37E51"/>
    <w:rsid w:val="00E409AD"/>
    <w:rsid w:val="00E742A4"/>
    <w:rsid w:val="00E74549"/>
    <w:rsid w:val="00E80256"/>
    <w:rsid w:val="00E82BD7"/>
    <w:rsid w:val="00E840AD"/>
    <w:rsid w:val="00E90C94"/>
    <w:rsid w:val="00E90E8B"/>
    <w:rsid w:val="00E91A82"/>
    <w:rsid w:val="00E95B5D"/>
    <w:rsid w:val="00EB5395"/>
    <w:rsid w:val="00EB72AD"/>
    <w:rsid w:val="00EC383D"/>
    <w:rsid w:val="00ED4E4C"/>
    <w:rsid w:val="00EF4564"/>
    <w:rsid w:val="00EF4C8C"/>
    <w:rsid w:val="00F164AB"/>
    <w:rsid w:val="00F174D7"/>
    <w:rsid w:val="00F2542D"/>
    <w:rsid w:val="00F26CD5"/>
    <w:rsid w:val="00F52FDA"/>
    <w:rsid w:val="00F80080"/>
    <w:rsid w:val="00F84E0B"/>
    <w:rsid w:val="00F878F2"/>
    <w:rsid w:val="00F97D99"/>
    <w:rsid w:val="00FA13DD"/>
    <w:rsid w:val="00FA157F"/>
    <w:rsid w:val="00FA2E8C"/>
    <w:rsid w:val="00FA6C4B"/>
    <w:rsid w:val="00FB3B94"/>
    <w:rsid w:val="00FC1D87"/>
    <w:rsid w:val="00FC3F94"/>
    <w:rsid w:val="00FC5742"/>
    <w:rsid w:val="00FC656B"/>
    <w:rsid w:val="00FD4CCC"/>
    <w:rsid w:val="00FD699F"/>
    <w:rsid w:val="00FE4777"/>
    <w:rsid w:val="00FE5E76"/>
    <w:rsid w:val="00FF1635"/>
    <w:rsid w:val="00FF74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93350B"/>
  <w15:docId w15:val="{CE9190B8-73F2-4879-BE92-2AC07252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4F"/>
    <w:rPr>
      <w:sz w:val="24"/>
      <w:szCs w:val="24"/>
    </w:rPr>
  </w:style>
  <w:style w:type="paragraph" w:styleId="Ttulo1">
    <w:name w:val="heading 1"/>
    <w:basedOn w:val="Normal"/>
    <w:next w:val="Normal"/>
    <w:link w:val="Ttulo1Char"/>
    <w:uiPriority w:val="99"/>
    <w:qFormat/>
    <w:rsid w:val="00A85500"/>
    <w:pPr>
      <w:keepNext/>
      <w:outlineLvl w:val="0"/>
    </w:pPr>
    <w:rPr>
      <w:rFonts w:ascii="Arial" w:hAnsi="Arial" w:cs="Arial"/>
      <w:b/>
      <w:bCs/>
    </w:rPr>
  </w:style>
  <w:style w:type="paragraph" w:styleId="Ttulo2">
    <w:name w:val="heading 2"/>
    <w:basedOn w:val="Normal"/>
    <w:next w:val="Normal"/>
    <w:link w:val="Ttulo2Char"/>
    <w:uiPriority w:val="99"/>
    <w:qFormat/>
    <w:rsid w:val="00A85500"/>
    <w:pPr>
      <w:keepNext/>
      <w:jc w:val="both"/>
      <w:outlineLvl w:val="1"/>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750AE"/>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8750AE"/>
    <w:rPr>
      <w:rFonts w:ascii="Cambria" w:hAnsi="Cambria" w:cs="Times New Roman"/>
      <w:b/>
      <w:bCs/>
      <w:i/>
      <w:iCs/>
      <w:sz w:val="28"/>
      <w:szCs w:val="28"/>
    </w:rPr>
  </w:style>
  <w:style w:type="paragraph" w:styleId="Ttulo">
    <w:name w:val="Title"/>
    <w:basedOn w:val="Normal"/>
    <w:link w:val="TtuloChar"/>
    <w:uiPriority w:val="99"/>
    <w:qFormat/>
    <w:rsid w:val="00A85500"/>
    <w:pPr>
      <w:jc w:val="center"/>
    </w:pPr>
    <w:rPr>
      <w:b/>
      <w:bCs/>
    </w:rPr>
  </w:style>
  <w:style w:type="character" w:customStyle="1" w:styleId="TtuloChar">
    <w:name w:val="Título Char"/>
    <w:basedOn w:val="Fontepargpadro"/>
    <w:link w:val="Ttulo"/>
    <w:uiPriority w:val="99"/>
    <w:locked/>
    <w:rsid w:val="008750AE"/>
    <w:rPr>
      <w:rFonts w:ascii="Cambria" w:hAnsi="Cambria" w:cs="Times New Roman"/>
      <w:b/>
      <w:bCs/>
      <w:kern w:val="28"/>
      <w:sz w:val="32"/>
      <w:szCs w:val="32"/>
    </w:rPr>
  </w:style>
  <w:style w:type="paragraph" w:styleId="Corpodetexto">
    <w:name w:val="Body Text"/>
    <w:basedOn w:val="Normal"/>
    <w:link w:val="CorpodetextoChar"/>
    <w:uiPriority w:val="99"/>
    <w:rsid w:val="00A85500"/>
    <w:pPr>
      <w:jc w:val="both"/>
    </w:pPr>
    <w:rPr>
      <w:rFonts w:ascii="Arial" w:hAnsi="Arial" w:cs="Arial"/>
    </w:rPr>
  </w:style>
  <w:style w:type="character" w:customStyle="1" w:styleId="CorpodetextoChar">
    <w:name w:val="Corpo de texto Char"/>
    <w:basedOn w:val="Fontepargpadro"/>
    <w:link w:val="Corpodetexto"/>
    <w:uiPriority w:val="99"/>
    <w:semiHidden/>
    <w:locked/>
    <w:rsid w:val="008750AE"/>
    <w:rPr>
      <w:rFonts w:cs="Times New Roman"/>
      <w:sz w:val="24"/>
      <w:szCs w:val="24"/>
    </w:rPr>
  </w:style>
  <w:style w:type="paragraph" w:customStyle="1" w:styleId="ESC-Normal">
    <w:name w:val="ESC-Normal"/>
    <w:basedOn w:val="Normal"/>
    <w:link w:val="ESC-NormalChar1"/>
    <w:qFormat/>
    <w:rsid w:val="0049582A"/>
    <w:pPr>
      <w:widowControl w:val="0"/>
      <w:autoSpaceDE w:val="0"/>
      <w:autoSpaceDN w:val="0"/>
      <w:adjustRightInd w:val="0"/>
      <w:ind w:firstLine="2835"/>
      <w:jc w:val="both"/>
    </w:pPr>
    <w:rPr>
      <w:rFonts w:ascii="Arial" w:hAnsi="Arial"/>
      <w:szCs w:val="20"/>
    </w:rPr>
  </w:style>
  <w:style w:type="paragraph" w:customStyle="1" w:styleId="Texto">
    <w:name w:val="Texto"/>
    <w:basedOn w:val="Normal"/>
    <w:uiPriority w:val="99"/>
    <w:rsid w:val="00124D92"/>
    <w:pPr>
      <w:ind w:firstLine="2880"/>
      <w:jc w:val="both"/>
    </w:pPr>
    <w:rPr>
      <w:rFonts w:ascii="Arial" w:hAnsi="Arial" w:cs="Arial"/>
    </w:rPr>
  </w:style>
  <w:style w:type="paragraph" w:styleId="PargrafodaLista">
    <w:name w:val="List Paragraph"/>
    <w:basedOn w:val="Normal"/>
    <w:uiPriority w:val="99"/>
    <w:qFormat/>
    <w:rsid w:val="007B7A7F"/>
    <w:pPr>
      <w:ind w:left="720"/>
      <w:contextualSpacing/>
    </w:pPr>
  </w:style>
  <w:style w:type="character" w:customStyle="1" w:styleId="apple-converted-space">
    <w:name w:val="apple-converted-space"/>
    <w:basedOn w:val="Fontepargpadro"/>
    <w:uiPriority w:val="99"/>
    <w:rsid w:val="00454BDD"/>
    <w:rPr>
      <w:rFonts w:cs="Times New Roman"/>
    </w:rPr>
  </w:style>
  <w:style w:type="character" w:styleId="Forte">
    <w:name w:val="Strong"/>
    <w:basedOn w:val="Fontepargpadro"/>
    <w:uiPriority w:val="22"/>
    <w:qFormat/>
    <w:locked/>
    <w:rsid w:val="00591C35"/>
    <w:rPr>
      <w:b/>
      <w:bCs/>
    </w:rPr>
  </w:style>
  <w:style w:type="paragraph" w:styleId="Cabealho">
    <w:name w:val="header"/>
    <w:basedOn w:val="Normal"/>
    <w:link w:val="CabealhoChar"/>
    <w:uiPriority w:val="99"/>
    <w:unhideWhenUsed/>
    <w:rsid w:val="00330373"/>
    <w:pPr>
      <w:tabs>
        <w:tab w:val="center" w:pos="4252"/>
        <w:tab w:val="right" w:pos="8504"/>
      </w:tabs>
    </w:pPr>
  </w:style>
  <w:style w:type="character" w:customStyle="1" w:styleId="CabealhoChar">
    <w:name w:val="Cabeçalho Char"/>
    <w:basedOn w:val="Fontepargpadro"/>
    <w:link w:val="Cabealho"/>
    <w:uiPriority w:val="99"/>
    <w:rsid w:val="00330373"/>
    <w:rPr>
      <w:sz w:val="24"/>
      <w:szCs w:val="24"/>
    </w:rPr>
  </w:style>
  <w:style w:type="paragraph" w:styleId="Rodap">
    <w:name w:val="footer"/>
    <w:basedOn w:val="Normal"/>
    <w:link w:val="RodapChar"/>
    <w:uiPriority w:val="99"/>
    <w:unhideWhenUsed/>
    <w:rsid w:val="00330373"/>
    <w:pPr>
      <w:tabs>
        <w:tab w:val="center" w:pos="4252"/>
        <w:tab w:val="right" w:pos="8504"/>
      </w:tabs>
    </w:pPr>
  </w:style>
  <w:style w:type="character" w:customStyle="1" w:styleId="RodapChar">
    <w:name w:val="Rodapé Char"/>
    <w:basedOn w:val="Fontepargpadro"/>
    <w:link w:val="Rodap"/>
    <w:uiPriority w:val="99"/>
    <w:rsid w:val="00330373"/>
    <w:rPr>
      <w:sz w:val="24"/>
      <w:szCs w:val="24"/>
    </w:rPr>
  </w:style>
  <w:style w:type="character" w:styleId="Hyperlink">
    <w:name w:val="Hyperlink"/>
    <w:basedOn w:val="Fontepargpadro"/>
    <w:uiPriority w:val="99"/>
    <w:unhideWhenUsed/>
    <w:rsid w:val="00255D08"/>
    <w:rPr>
      <w:color w:val="0000FF" w:themeColor="hyperlink"/>
      <w:u w:val="single"/>
    </w:rPr>
  </w:style>
  <w:style w:type="character" w:styleId="MenoPendente">
    <w:name w:val="Unresolved Mention"/>
    <w:basedOn w:val="Fontepargpadro"/>
    <w:uiPriority w:val="99"/>
    <w:semiHidden/>
    <w:unhideWhenUsed/>
    <w:rsid w:val="00255D08"/>
    <w:rPr>
      <w:color w:val="605E5C"/>
      <w:shd w:val="clear" w:color="auto" w:fill="E1DFDD"/>
    </w:rPr>
  </w:style>
  <w:style w:type="paragraph" w:customStyle="1" w:styleId="COLUNA10">
    <w:name w:val="COLUNA 10"/>
    <w:link w:val="COLUNA10Char"/>
    <w:rsid w:val="00383A1A"/>
    <w:pPr>
      <w:tabs>
        <w:tab w:val="left" w:pos="2880"/>
      </w:tabs>
      <w:spacing w:line="264" w:lineRule="exact"/>
      <w:ind w:left="1440"/>
      <w:jc w:val="both"/>
    </w:pPr>
    <w:rPr>
      <w:rFonts w:ascii="Letter Gothic" w:hAnsi="Letter Gothic"/>
      <w:sz w:val="24"/>
      <w:szCs w:val="20"/>
    </w:rPr>
  </w:style>
  <w:style w:type="character" w:styleId="Refdenotaderodap">
    <w:name w:val="footnote reference"/>
    <w:rsid w:val="00383A1A"/>
    <w:rPr>
      <w:vertAlign w:val="superscript"/>
    </w:rPr>
  </w:style>
  <w:style w:type="paragraph" w:styleId="Textodenotaderodap">
    <w:name w:val="footnote text"/>
    <w:aliases w:val="ESC-Rodapé,ESC-Nota de rodapé,Texto de nota de rodapé Char Char,Texto de nota de rodapé Char Char Char, Char, Char Char Char,Char,Char Char Char,Char Char,Char Char Char Char,ESC-Rodapé Char Char"/>
    <w:basedOn w:val="Normal"/>
    <w:link w:val="TextodenotaderodapChar"/>
    <w:qFormat/>
    <w:rsid w:val="00383A1A"/>
    <w:pPr>
      <w:keepLines/>
      <w:widowControl w:val="0"/>
      <w:autoSpaceDE w:val="0"/>
      <w:autoSpaceDN w:val="0"/>
      <w:adjustRightInd w:val="0"/>
      <w:ind w:left="567" w:hanging="567"/>
      <w:jc w:val="both"/>
    </w:pPr>
    <w:rPr>
      <w:noProof/>
      <w:sz w:val="20"/>
      <w:szCs w:val="20"/>
    </w:rPr>
  </w:style>
  <w:style w:type="character" w:customStyle="1" w:styleId="TextodenotaderodapChar">
    <w:name w:val="Texto de nota de rodapé Char"/>
    <w:aliases w:val="ESC-Rodapé Char,ESC-Nota de rodapé Char,Texto de nota de rodapé Char Char Char1,Texto de nota de rodapé Char Char Char Char, Char Char, Char Char Char Char,Char Char1,Char Char Char Char1,Char Char Char1"/>
    <w:basedOn w:val="Fontepargpadro"/>
    <w:link w:val="Textodenotaderodap"/>
    <w:rsid w:val="00383A1A"/>
    <w:rPr>
      <w:noProof/>
      <w:sz w:val="20"/>
      <w:szCs w:val="20"/>
    </w:rPr>
  </w:style>
  <w:style w:type="character" w:customStyle="1" w:styleId="ESC-NormalChar1">
    <w:name w:val="ESC-Normal Char1"/>
    <w:link w:val="ESC-Normal"/>
    <w:rsid w:val="00383A1A"/>
    <w:rPr>
      <w:rFonts w:ascii="Arial" w:hAnsi="Arial"/>
      <w:sz w:val="24"/>
      <w:szCs w:val="20"/>
    </w:rPr>
  </w:style>
  <w:style w:type="character" w:customStyle="1" w:styleId="COLUNA10Char">
    <w:name w:val="COLUNA 10 Char"/>
    <w:link w:val="COLUNA10"/>
    <w:rsid w:val="00383A1A"/>
    <w:rPr>
      <w:rFonts w:ascii="Letter Gothic" w:hAnsi="Letter Gothic"/>
      <w:sz w:val="24"/>
      <w:szCs w:val="20"/>
    </w:rPr>
  </w:style>
  <w:style w:type="paragraph" w:styleId="NormalWeb">
    <w:name w:val="Normal (Web)"/>
    <w:basedOn w:val="Normal"/>
    <w:uiPriority w:val="99"/>
    <w:semiHidden/>
    <w:unhideWhenUsed/>
    <w:rsid w:val="004238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529168">
      <w:marLeft w:val="0"/>
      <w:marRight w:val="0"/>
      <w:marTop w:val="0"/>
      <w:marBottom w:val="0"/>
      <w:divBdr>
        <w:top w:val="none" w:sz="0" w:space="0" w:color="auto"/>
        <w:left w:val="none" w:sz="0" w:space="0" w:color="auto"/>
        <w:bottom w:val="none" w:sz="0" w:space="0" w:color="auto"/>
        <w:right w:val="none" w:sz="0" w:space="0" w:color="auto"/>
      </w:divBdr>
      <w:divsChild>
        <w:div w:id="1207529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4331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PROCESSOS ASSER:</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PROCESSOS ASSER:</dc:title>
  <dc:creator>Micro</dc:creator>
  <cp:lastModifiedBy>Lucia</cp:lastModifiedBy>
  <cp:revision>2</cp:revision>
  <cp:lastPrinted>2020-08-28T15:39:00Z</cp:lastPrinted>
  <dcterms:created xsi:type="dcterms:W3CDTF">2020-09-11T19:06:00Z</dcterms:created>
  <dcterms:modified xsi:type="dcterms:W3CDTF">2020-09-11T19:06:00Z</dcterms:modified>
</cp:coreProperties>
</file>